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54C41" w14:textId="4A403AFA" w:rsidR="00A41C18" w:rsidRPr="0010281F" w:rsidRDefault="00DF2F2B" w:rsidP="0010281F">
      <w:pPr>
        <w:spacing w:line="360" w:lineRule="auto"/>
        <w:rPr>
          <w:rFonts w:ascii="Times New Roman" w:hAnsi="Times New Roman" w:cs="Times New Roman"/>
          <w:b/>
          <w:bCs/>
          <w:sz w:val="22"/>
        </w:rPr>
      </w:pPr>
      <w:r w:rsidRPr="0010281F">
        <w:rPr>
          <w:rFonts w:ascii="Times New Roman" w:hAnsi="Times New Roman" w:cs="Times New Roman"/>
          <w:b/>
          <w:bCs/>
          <w:sz w:val="22"/>
        </w:rPr>
        <w:t>Supplementary Information</w:t>
      </w:r>
    </w:p>
    <w:p w14:paraId="228DBE2A"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Legends</w:t>
      </w:r>
    </w:p>
    <w:p w14:paraId="32C526C1"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1. The immune-related gene list from the InnateDB database.</w:t>
      </w:r>
    </w:p>
    <w:p w14:paraId="506C7741"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2. The results of IRGPs by univariate Cox proportional hazards regression model.</w:t>
      </w:r>
    </w:p>
    <w:p w14:paraId="6C27DAD8"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3. The clinical information including risk scores and risk groups of all TCGA OV patients.</w:t>
      </w:r>
    </w:p>
    <w:p w14:paraId="50036F54"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4. GO functional annotation of genes with relatively low expression.</w:t>
      </w:r>
    </w:p>
    <w:p w14:paraId="2ED2C1DC"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5. GO functional annotation of genes with relatively high expression.</w:t>
      </w:r>
    </w:p>
    <w:p w14:paraId="6663CE51" w14:textId="77777777" w:rsidR="00DF2F2B" w:rsidRPr="0010281F"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Table 6. GSVA analysis of DEGs in high- and low-risk groups.</w:t>
      </w:r>
    </w:p>
    <w:p w14:paraId="1DEED883" w14:textId="1A291815" w:rsidR="00DF2F2B" w:rsidRDefault="002B1005" w:rsidP="0010281F">
      <w:pPr>
        <w:spacing w:line="360" w:lineRule="auto"/>
        <w:rPr>
          <w:rFonts w:ascii="Times New Roman" w:hAnsi="Times New Roman" w:cs="Times New Roman"/>
          <w:color w:val="000000" w:themeColor="text1"/>
          <w:sz w:val="22"/>
        </w:rPr>
      </w:pPr>
      <w:r w:rsidRPr="0010281F">
        <w:rPr>
          <w:rFonts w:ascii="Times New Roman" w:hAnsi="Times New Roman" w:cs="Times New Roman"/>
          <w:b/>
          <w:bCs/>
          <w:color w:val="000000" w:themeColor="text1"/>
          <w:sz w:val="22"/>
        </w:rPr>
        <w:t>Supple</w:t>
      </w:r>
      <w:r w:rsidRPr="002B1005">
        <w:rPr>
          <w:rFonts w:ascii="Times New Roman" w:hAnsi="Times New Roman" w:cs="Times New Roman"/>
          <w:b/>
          <w:bCs/>
          <w:color w:val="000000" w:themeColor="text1"/>
          <w:sz w:val="22"/>
        </w:rPr>
        <w:t>mentary Table 7. The clinical information of patients in two GEO datasets.</w:t>
      </w:r>
    </w:p>
    <w:p w14:paraId="358D9201" w14:textId="77777777" w:rsidR="002B1005" w:rsidRPr="002B1005" w:rsidRDefault="002B1005" w:rsidP="0010281F">
      <w:pPr>
        <w:spacing w:line="360" w:lineRule="auto"/>
        <w:rPr>
          <w:rFonts w:ascii="Times New Roman" w:hAnsi="Times New Roman" w:cs="Times New Roman"/>
          <w:b/>
          <w:bCs/>
          <w:color w:val="000000" w:themeColor="text1"/>
          <w:sz w:val="22"/>
        </w:rPr>
      </w:pPr>
    </w:p>
    <w:p w14:paraId="6EF4E052" w14:textId="775CDC7D" w:rsidR="00DF2F2B" w:rsidRDefault="00DF2F2B"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Figure</w:t>
      </w:r>
      <w:r w:rsidR="0092009E">
        <w:rPr>
          <w:rFonts w:ascii="Times New Roman" w:hAnsi="Times New Roman" w:cs="Times New Roman" w:hint="eastAsia"/>
          <w:b/>
          <w:bCs/>
          <w:color w:val="000000" w:themeColor="text1"/>
          <w:sz w:val="22"/>
        </w:rPr>
        <w:t>s</w:t>
      </w:r>
    </w:p>
    <w:p w14:paraId="434E959C" w14:textId="0F079593" w:rsidR="00DF2F2B" w:rsidRPr="0010281F" w:rsidRDefault="002C7CC0" w:rsidP="0010281F">
      <w:pPr>
        <w:spacing w:line="360" w:lineRule="auto"/>
        <w:rPr>
          <w:rFonts w:ascii="Times New Roman" w:hAnsi="Times New Roman" w:cs="Times New Roman"/>
          <w:b/>
          <w:bCs/>
          <w:color w:val="000000" w:themeColor="text1"/>
          <w:sz w:val="22"/>
        </w:rPr>
      </w:pPr>
      <w:r w:rsidRPr="0010281F">
        <w:rPr>
          <w:rFonts w:ascii="Times New Roman" w:hAnsi="Times New Roman" w:cs="Times New Roman"/>
          <w:b/>
          <w:bCs/>
          <w:color w:val="000000" w:themeColor="text1"/>
          <w:sz w:val="22"/>
        </w:rPr>
        <w:t>Supplementary Figure 1.</w:t>
      </w:r>
      <w:r w:rsidR="00826A7C">
        <w:rPr>
          <w:rFonts w:ascii="Times New Roman" w:hAnsi="Times New Roman" w:cs="Times New Roman"/>
          <w:b/>
          <w:bCs/>
          <w:color w:val="000000" w:themeColor="text1"/>
          <w:sz w:val="22"/>
        </w:rPr>
        <w:t xml:space="preserve"> The </w:t>
      </w:r>
      <w:r w:rsidR="00826A7C" w:rsidRPr="00826A7C">
        <w:rPr>
          <w:rFonts w:ascii="Times New Roman" w:hAnsi="Times New Roman" w:cs="Times New Roman"/>
          <w:b/>
          <w:bCs/>
          <w:color w:val="000000" w:themeColor="text1"/>
          <w:sz w:val="22"/>
        </w:rPr>
        <w:t>concept figure we established IRGPs and the score of each IRGP</w:t>
      </w:r>
      <w:r w:rsidR="00200796">
        <w:rPr>
          <w:rFonts w:ascii="Times New Roman" w:hAnsi="Times New Roman" w:cs="Times New Roman"/>
          <w:b/>
          <w:bCs/>
          <w:color w:val="000000" w:themeColor="text1"/>
          <w:sz w:val="22"/>
        </w:rPr>
        <w:t>.</w:t>
      </w:r>
      <w:r w:rsidR="00DF2F2B" w:rsidRPr="0010281F">
        <w:rPr>
          <w:rFonts w:ascii="Times New Roman" w:hAnsi="Times New Roman" w:cs="Times New Roman"/>
          <w:b/>
          <w:bCs/>
          <w:color w:val="000000" w:themeColor="text1"/>
          <w:sz w:val="22"/>
        </w:rPr>
        <w:t xml:space="preserve">Supplementary Figure </w:t>
      </w:r>
      <w:r>
        <w:rPr>
          <w:rFonts w:ascii="Times New Roman" w:hAnsi="Times New Roman" w:cs="Times New Roman"/>
          <w:b/>
          <w:bCs/>
          <w:color w:val="000000" w:themeColor="text1"/>
          <w:sz w:val="22"/>
        </w:rPr>
        <w:t>2</w:t>
      </w:r>
      <w:r w:rsidR="00DF2F2B" w:rsidRPr="0010281F">
        <w:rPr>
          <w:rFonts w:ascii="Times New Roman" w:hAnsi="Times New Roman" w:cs="Times New Roman"/>
          <w:b/>
          <w:bCs/>
          <w:color w:val="000000" w:themeColor="text1"/>
          <w:sz w:val="22"/>
        </w:rPr>
        <w:t>. The results of the LASSO regression model.</w:t>
      </w:r>
      <w:r w:rsidR="00DF2F2B" w:rsidRPr="00BD4E5C">
        <w:rPr>
          <w:rFonts w:ascii="Times New Roman" w:hAnsi="Times New Roman" w:cs="Times New Roman"/>
          <w:color w:val="000000" w:themeColor="text1"/>
          <w:sz w:val="22"/>
        </w:rPr>
        <w:t xml:space="preserve"> (A) Each independent parameter selection in the LASSO model. For each independent variable, the horizontal axis represents the log value of the independent variable lambda, and the vertical axis represents the coefficient of the independent variable. (B) The confidence interval under each lambda.</w:t>
      </w:r>
    </w:p>
    <w:p w14:paraId="1D236210" w14:textId="20D0C92B" w:rsidR="00DF2F2B" w:rsidRDefault="00DF2F2B" w:rsidP="0010281F">
      <w:pPr>
        <w:spacing w:line="360" w:lineRule="auto"/>
        <w:rPr>
          <w:rFonts w:ascii="Times New Roman" w:hAnsi="Times New Roman" w:cs="Times New Roman"/>
          <w:color w:val="000000" w:themeColor="text1"/>
          <w:sz w:val="22"/>
        </w:rPr>
      </w:pPr>
      <w:r w:rsidRPr="0010281F">
        <w:rPr>
          <w:rFonts w:ascii="Times New Roman" w:hAnsi="Times New Roman" w:cs="Times New Roman"/>
          <w:b/>
          <w:bCs/>
          <w:color w:val="000000" w:themeColor="text1"/>
          <w:sz w:val="22"/>
        </w:rPr>
        <w:t xml:space="preserve">Supplementary Figure </w:t>
      </w:r>
      <w:r w:rsidR="002C7CC0">
        <w:rPr>
          <w:rFonts w:ascii="Times New Roman" w:hAnsi="Times New Roman" w:cs="Times New Roman"/>
          <w:b/>
          <w:bCs/>
          <w:color w:val="000000" w:themeColor="text1"/>
          <w:sz w:val="22"/>
        </w:rPr>
        <w:t>3</w:t>
      </w:r>
      <w:r w:rsidRPr="0010281F">
        <w:rPr>
          <w:rFonts w:ascii="Times New Roman" w:hAnsi="Times New Roman" w:cs="Times New Roman"/>
          <w:b/>
          <w:bCs/>
          <w:color w:val="000000" w:themeColor="text1"/>
          <w:sz w:val="22"/>
        </w:rPr>
        <w:t>. The distribution of patient survival time in each dataset.</w:t>
      </w:r>
      <w:r w:rsidRPr="00BD4E5C">
        <w:rPr>
          <w:rFonts w:ascii="Times New Roman" w:hAnsi="Times New Roman" w:cs="Times New Roman"/>
          <w:color w:val="000000" w:themeColor="text1"/>
          <w:sz w:val="22"/>
        </w:rPr>
        <w:t xml:space="preserve"> (A) TCGA dataset. (B) GEO dataset.</w:t>
      </w:r>
    </w:p>
    <w:p w14:paraId="2B7688FC" w14:textId="5C0EA4A8" w:rsidR="00CD7D0C" w:rsidRDefault="00CD7D0C" w:rsidP="00841A60">
      <w:pPr>
        <w:spacing w:line="360" w:lineRule="auto"/>
        <w:rPr>
          <w:rFonts w:ascii="Times New Roman" w:hAnsi="Times New Roman" w:cs="Times New Roman"/>
          <w:color w:val="000000" w:themeColor="text1"/>
          <w:sz w:val="22"/>
        </w:rPr>
      </w:pPr>
      <w:r w:rsidRPr="008535D4">
        <w:rPr>
          <w:rFonts w:ascii="Times New Roman" w:hAnsi="Times New Roman" w:cs="Times New Roman"/>
          <w:b/>
          <w:bCs/>
          <w:sz w:val="22"/>
        </w:rPr>
        <w:t xml:space="preserve">Supplementary Figure 4. </w:t>
      </w:r>
      <w:r w:rsidR="008535D4" w:rsidRPr="002A26F7">
        <w:rPr>
          <w:rFonts w:ascii="Times New Roman" w:hAnsi="Times New Roman" w:cs="Times New Roman"/>
          <w:b/>
          <w:bCs/>
          <w:color w:val="000000" w:themeColor="text1"/>
          <w:sz w:val="22"/>
        </w:rPr>
        <w:t>The ROC and K-M curves of the OV prognostic risk model</w:t>
      </w:r>
      <w:r w:rsidR="008535D4">
        <w:rPr>
          <w:rFonts w:ascii="Times New Roman" w:hAnsi="Times New Roman" w:cs="Times New Roman"/>
          <w:b/>
          <w:bCs/>
          <w:color w:val="000000" w:themeColor="text1"/>
          <w:sz w:val="22"/>
        </w:rPr>
        <w:t xml:space="preserve"> in </w:t>
      </w:r>
      <w:r w:rsidR="008535D4" w:rsidRPr="008535D4">
        <w:rPr>
          <w:rFonts w:ascii="Times New Roman" w:hAnsi="Times New Roman" w:cs="Times New Roman"/>
          <w:b/>
          <w:bCs/>
          <w:color w:val="000000" w:themeColor="text1"/>
          <w:sz w:val="22"/>
        </w:rPr>
        <w:t>GSE14764</w:t>
      </w:r>
      <w:r w:rsidR="008535D4">
        <w:rPr>
          <w:rFonts w:ascii="Times New Roman" w:hAnsi="Times New Roman" w:cs="Times New Roman"/>
          <w:b/>
          <w:bCs/>
          <w:color w:val="000000" w:themeColor="text1"/>
          <w:sz w:val="22"/>
        </w:rPr>
        <w:t xml:space="preserve"> dataset</w:t>
      </w:r>
      <w:r w:rsidR="008535D4" w:rsidRPr="002A26F7">
        <w:rPr>
          <w:rFonts w:ascii="Times New Roman" w:hAnsi="Times New Roman" w:cs="Times New Roman"/>
          <w:b/>
          <w:bCs/>
          <w:color w:val="000000" w:themeColor="text1"/>
          <w:sz w:val="22"/>
        </w:rPr>
        <w:t>.</w:t>
      </w:r>
      <w:r w:rsidR="008535D4" w:rsidRPr="002A26F7">
        <w:rPr>
          <w:rFonts w:ascii="Times New Roman" w:hAnsi="Times New Roman" w:cs="Times New Roman"/>
          <w:color w:val="000000" w:themeColor="text1"/>
          <w:sz w:val="22"/>
        </w:rPr>
        <w:t xml:space="preserve"> (A) The ROC and K-M curve of Risk-H/Risk-L samples of the 7-gene signature risk model. (B) The ROC and K-M curve of Risk-H/Risk-L samples of the 5-gene signature risk model. (C) The ROC and K-M curve of Risk-H/Risk-L samples of the 6-gene signature risk model. (D) The ROC and K-M curve of Risk-H/Risk-L samples of the 2-</w:t>
      </w:r>
      <w:r w:rsidR="00002CE8">
        <w:rPr>
          <w:rFonts w:ascii="Times New Roman" w:hAnsi="Times New Roman" w:cs="Times New Roman"/>
          <w:color w:val="000000" w:themeColor="text1"/>
          <w:sz w:val="22"/>
        </w:rPr>
        <w:t>gene</w:t>
      </w:r>
      <w:r w:rsidR="008535D4" w:rsidRPr="002A26F7">
        <w:rPr>
          <w:rFonts w:ascii="Times New Roman" w:hAnsi="Times New Roman" w:cs="Times New Roman"/>
          <w:color w:val="000000" w:themeColor="text1"/>
          <w:sz w:val="22"/>
        </w:rPr>
        <w:t xml:space="preserve"> signature risk model.</w:t>
      </w:r>
      <w:bookmarkStart w:id="0" w:name="_GoBack"/>
      <w:bookmarkEnd w:id="0"/>
    </w:p>
    <w:p w14:paraId="7A244FDF" w14:textId="77777777" w:rsidR="00493243" w:rsidRDefault="003336E9" w:rsidP="0010281F">
      <w:pPr>
        <w:spacing w:line="360" w:lineRule="auto"/>
        <w:rPr>
          <w:rFonts w:ascii="Times New Roman" w:hAnsi="Times New Roman" w:cs="Times New Roman"/>
          <w:color w:val="000000" w:themeColor="text1"/>
          <w:sz w:val="22"/>
        </w:rPr>
        <w:sectPr w:rsidR="00493243" w:rsidSect="0010281F">
          <w:pgSz w:w="11906" w:h="16838"/>
          <w:pgMar w:top="1440" w:right="1800" w:bottom="1440" w:left="1800" w:header="851" w:footer="992" w:gutter="0"/>
          <w:lnNumType w:countBy="1" w:restart="continuous"/>
          <w:cols w:space="425"/>
          <w:docGrid w:type="lines" w:linePitch="312"/>
        </w:sectPr>
      </w:pPr>
      <w:r w:rsidRPr="008535D4">
        <w:rPr>
          <w:rFonts w:ascii="Times New Roman" w:hAnsi="Times New Roman" w:cs="Times New Roman"/>
          <w:b/>
          <w:bCs/>
          <w:sz w:val="22"/>
        </w:rPr>
        <w:t xml:space="preserve">Supplementary Figure </w:t>
      </w:r>
      <w:r>
        <w:rPr>
          <w:rFonts w:ascii="Times New Roman" w:hAnsi="Times New Roman" w:cs="Times New Roman"/>
          <w:b/>
          <w:bCs/>
          <w:sz w:val="22"/>
        </w:rPr>
        <w:t>5</w:t>
      </w:r>
      <w:r w:rsidRPr="008535D4">
        <w:rPr>
          <w:rFonts w:ascii="Times New Roman" w:hAnsi="Times New Roman" w:cs="Times New Roman"/>
          <w:b/>
          <w:bCs/>
          <w:sz w:val="22"/>
        </w:rPr>
        <w:t xml:space="preserve">. </w:t>
      </w:r>
      <w:r w:rsidRPr="002A26F7">
        <w:rPr>
          <w:rFonts w:ascii="Times New Roman" w:hAnsi="Times New Roman" w:cs="Times New Roman"/>
          <w:b/>
          <w:bCs/>
          <w:color w:val="000000" w:themeColor="text1"/>
          <w:sz w:val="22"/>
        </w:rPr>
        <w:t>The ROC and K-M curves of the OV prognostic risk model</w:t>
      </w:r>
      <w:r>
        <w:rPr>
          <w:rFonts w:ascii="Times New Roman" w:hAnsi="Times New Roman" w:cs="Times New Roman"/>
          <w:b/>
          <w:bCs/>
          <w:color w:val="000000" w:themeColor="text1"/>
          <w:sz w:val="22"/>
        </w:rPr>
        <w:t xml:space="preserve"> in </w:t>
      </w:r>
      <w:r w:rsidRPr="003336E9">
        <w:rPr>
          <w:rFonts w:ascii="Times New Roman" w:hAnsi="Times New Roman" w:cs="Times New Roman"/>
          <w:b/>
          <w:bCs/>
          <w:color w:val="000000" w:themeColor="text1"/>
          <w:sz w:val="22"/>
        </w:rPr>
        <w:t xml:space="preserve">GSE26712 </w:t>
      </w:r>
      <w:r>
        <w:rPr>
          <w:rFonts w:ascii="Times New Roman" w:hAnsi="Times New Roman" w:cs="Times New Roman"/>
          <w:b/>
          <w:bCs/>
          <w:color w:val="000000" w:themeColor="text1"/>
          <w:sz w:val="22"/>
        </w:rPr>
        <w:t>dataset</w:t>
      </w:r>
      <w:r w:rsidRPr="002A26F7">
        <w:rPr>
          <w:rFonts w:ascii="Times New Roman" w:hAnsi="Times New Roman" w:cs="Times New Roman"/>
          <w:b/>
          <w:bCs/>
          <w:color w:val="000000" w:themeColor="text1"/>
          <w:sz w:val="22"/>
        </w:rPr>
        <w:t>.</w:t>
      </w:r>
      <w:r w:rsidRPr="002A26F7">
        <w:rPr>
          <w:rFonts w:ascii="Times New Roman" w:hAnsi="Times New Roman" w:cs="Times New Roman"/>
          <w:color w:val="000000" w:themeColor="text1"/>
          <w:sz w:val="22"/>
        </w:rPr>
        <w:t xml:space="preserve"> (A) The ROC and K-M curve of Risk-H/Risk-L samples of the 7-gene signature risk model. (B) The ROC and K-M curve of Risk-H/Risk-L samples of the 5-gene </w:t>
      </w:r>
      <w:r w:rsidRPr="002A26F7">
        <w:rPr>
          <w:rFonts w:ascii="Times New Roman" w:hAnsi="Times New Roman" w:cs="Times New Roman"/>
          <w:color w:val="000000" w:themeColor="text1"/>
          <w:sz w:val="22"/>
        </w:rPr>
        <w:lastRenderedPageBreak/>
        <w:t>signature risk model. (C) The ROC and K-M curve of Risk-H/Risk-L samples of the 6-gene signature risk model. (D) The ROC and K-M curve of Risk-H/Risk-L samples of the 2-</w:t>
      </w:r>
      <w:r w:rsidR="00002CE8">
        <w:rPr>
          <w:rFonts w:ascii="Times New Roman" w:hAnsi="Times New Roman" w:cs="Times New Roman"/>
          <w:color w:val="000000" w:themeColor="text1"/>
          <w:sz w:val="22"/>
        </w:rPr>
        <w:t>gene</w:t>
      </w:r>
      <w:r w:rsidRPr="002A26F7">
        <w:rPr>
          <w:rFonts w:ascii="Times New Roman" w:hAnsi="Times New Roman" w:cs="Times New Roman"/>
          <w:color w:val="000000" w:themeColor="text1"/>
          <w:sz w:val="22"/>
        </w:rPr>
        <w:t xml:space="preserve"> signature risk model.</w:t>
      </w:r>
    </w:p>
    <w:p w14:paraId="7E1D608F" w14:textId="6D270806" w:rsidR="003336E9" w:rsidRDefault="00493243" w:rsidP="00493243">
      <w:pPr>
        <w:spacing w:line="360" w:lineRule="auto"/>
        <w:jc w:val="center"/>
        <w:rPr>
          <w:rFonts w:ascii="Times New Roman" w:hAnsi="Times New Roman" w:cs="Times New Roman"/>
          <w:color w:val="000000" w:themeColor="text1"/>
          <w:sz w:val="22"/>
        </w:rPr>
      </w:pPr>
      <w:r>
        <w:rPr>
          <w:noProof/>
        </w:rPr>
        <w:lastRenderedPageBreak/>
        <w:drawing>
          <wp:inline distT="0" distB="0" distL="0" distR="0" wp14:anchorId="7855FD7A" wp14:editId="21524B7F">
            <wp:extent cx="4175760" cy="38328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75760" cy="3832860"/>
                    </a:xfrm>
                    <a:prstGeom prst="rect">
                      <a:avLst/>
                    </a:prstGeom>
                    <a:noFill/>
                    <a:ln>
                      <a:noFill/>
                    </a:ln>
                  </pic:spPr>
                </pic:pic>
              </a:graphicData>
            </a:graphic>
          </wp:inline>
        </w:drawing>
      </w:r>
    </w:p>
    <w:p w14:paraId="29A22486" w14:textId="77777777" w:rsidR="00541189" w:rsidRDefault="001D4BE9" w:rsidP="0010281F">
      <w:pPr>
        <w:spacing w:line="360" w:lineRule="auto"/>
        <w:rPr>
          <w:rFonts w:ascii="Times New Roman" w:hAnsi="Times New Roman" w:cs="Times New Roman"/>
          <w:b/>
          <w:bCs/>
          <w:color w:val="000000" w:themeColor="text1"/>
          <w:sz w:val="22"/>
        </w:rPr>
        <w:sectPr w:rsidR="00541189" w:rsidSect="0010281F">
          <w:pgSz w:w="11906" w:h="16838"/>
          <w:pgMar w:top="1440" w:right="1800" w:bottom="1440" w:left="1800" w:header="851" w:footer="992" w:gutter="0"/>
          <w:lnNumType w:countBy="1" w:restart="continuous"/>
          <w:cols w:space="425"/>
          <w:docGrid w:type="lines" w:linePitch="312"/>
        </w:sectPr>
      </w:pPr>
      <w:r w:rsidRPr="008535D4">
        <w:rPr>
          <w:rFonts w:ascii="Times New Roman" w:hAnsi="Times New Roman" w:cs="Times New Roman"/>
          <w:b/>
          <w:bCs/>
          <w:sz w:val="22"/>
        </w:rPr>
        <w:t xml:space="preserve">Supplementary Figure </w:t>
      </w:r>
      <w:r>
        <w:rPr>
          <w:rFonts w:ascii="Times New Roman" w:hAnsi="Times New Roman" w:cs="Times New Roman"/>
          <w:b/>
          <w:bCs/>
          <w:sz w:val="22"/>
        </w:rPr>
        <w:t>6</w:t>
      </w:r>
      <w:r w:rsidRPr="008535D4">
        <w:rPr>
          <w:rFonts w:ascii="Times New Roman" w:hAnsi="Times New Roman" w:cs="Times New Roman"/>
          <w:b/>
          <w:bCs/>
          <w:sz w:val="22"/>
        </w:rPr>
        <w:t xml:space="preserve">. </w:t>
      </w:r>
      <w:r w:rsidRPr="002A26F7">
        <w:rPr>
          <w:rFonts w:ascii="Times New Roman" w:hAnsi="Times New Roman" w:cs="Times New Roman"/>
          <w:b/>
          <w:bCs/>
          <w:color w:val="000000" w:themeColor="text1"/>
          <w:sz w:val="22"/>
        </w:rPr>
        <w:t>The</w:t>
      </w:r>
      <w:r>
        <w:rPr>
          <w:rFonts w:ascii="Times New Roman" w:hAnsi="Times New Roman" w:cs="Times New Roman"/>
          <w:b/>
          <w:bCs/>
          <w:color w:val="000000" w:themeColor="text1"/>
          <w:sz w:val="22"/>
        </w:rPr>
        <w:t xml:space="preserve"> </w:t>
      </w:r>
      <w:r w:rsidR="00D86C82" w:rsidRPr="00D86C82">
        <w:rPr>
          <w:rFonts w:ascii="Times New Roman" w:hAnsi="Times New Roman" w:cs="Times New Roman"/>
          <w:b/>
          <w:bCs/>
          <w:color w:val="000000" w:themeColor="text1"/>
          <w:sz w:val="22"/>
        </w:rPr>
        <w:t>prognostic prediction performance</w:t>
      </w:r>
      <w:r>
        <w:rPr>
          <w:rFonts w:ascii="Times New Roman" w:hAnsi="Times New Roman" w:cs="Times New Roman"/>
          <w:b/>
          <w:bCs/>
          <w:color w:val="000000" w:themeColor="text1"/>
          <w:sz w:val="22"/>
        </w:rPr>
        <w:t xml:space="preserve"> of </w:t>
      </w:r>
      <w:r w:rsidR="00CF1FC8" w:rsidRPr="00CF1FC8">
        <w:rPr>
          <w:rFonts w:ascii="Times New Roman" w:hAnsi="Times New Roman" w:cs="Times New Roman"/>
          <w:b/>
          <w:bCs/>
          <w:color w:val="000000" w:themeColor="text1"/>
          <w:sz w:val="22"/>
        </w:rPr>
        <w:t>four existing OV prognostic models</w:t>
      </w:r>
      <w:r w:rsidR="00CF1FC8">
        <w:rPr>
          <w:rFonts w:ascii="Times New Roman" w:hAnsi="Times New Roman" w:cs="Times New Roman"/>
          <w:b/>
          <w:bCs/>
          <w:color w:val="000000" w:themeColor="text1"/>
          <w:sz w:val="22"/>
        </w:rPr>
        <w:t xml:space="preserve"> in </w:t>
      </w:r>
      <w:r w:rsidR="008D6731" w:rsidRPr="008D6731">
        <w:rPr>
          <w:rFonts w:ascii="Times New Roman" w:hAnsi="Times New Roman" w:cs="Times New Roman"/>
          <w:b/>
          <w:bCs/>
          <w:color w:val="000000" w:themeColor="text1"/>
          <w:sz w:val="22"/>
        </w:rPr>
        <w:t xml:space="preserve">TCGA, GSE14764, </w:t>
      </w:r>
      <w:r w:rsidR="008D6731">
        <w:rPr>
          <w:rFonts w:ascii="Times New Roman" w:hAnsi="Times New Roman" w:cs="Times New Roman"/>
          <w:b/>
          <w:bCs/>
          <w:color w:val="000000" w:themeColor="text1"/>
          <w:sz w:val="22"/>
        </w:rPr>
        <w:t>and</w:t>
      </w:r>
      <w:r w:rsidR="008D6731" w:rsidRPr="008D6731">
        <w:rPr>
          <w:rFonts w:ascii="Times New Roman" w:hAnsi="Times New Roman" w:cs="Times New Roman"/>
          <w:b/>
          <w:bCs/>
          <w:color w:val="000000" w:themeColor="text1"/>
          <w:sz w:val="22"/>
        </w:rPr>
        <w:t xml:space="preserve"> GSE26712 dataset</w:t>
      </w:r>
      <w:r w:rsidR="008D6731">
        <w:rPr>
          <w:rFonts w:ascii="Times New Roman" w:hAnsi="Times New Roman" w:cs="Times New Roman"/>
          <w:b/>
          <w:bCs/>
          <w:color w:val="000000" w:themeColor="text1"/>
          <w:sz w:val="22"/>
        </w:rPr>
        <w:t>s.</w:t>
      </w:r>
    </w:p>
    <w:p w14:paraId="3B1586B8" w14:textId="13871EF1" w:rsidR="001D4BE9" w:rsidRPr="0010281F" w:rsidRDefault="00541189" w:rsidP="00541189">
      <w:pPr>
        <w:spacing w:line="360" w:lineRule="auto"/>
        <w:jc w:val="center"/>
        <w:rPr>
          <w:rFonts w:ascii="Times New Roman" w:hAnsi="Times New Roman" w:cs="Times New Roman"/>
          <w:sz w:val="22"/>
        </w:rPr>
      </w:pPr>
      <w:r>
        <w:rPr>
          <w:noProof/>
        </w:rPr>
        <w:lastRenderedPageBreak/>
        <w:drawing>
          <wp:inline distT="0" distB="0" distL="0" distR="0" wp14:anchorId="41BABB5F" wp14:editId="33B311B7">
            <wp:extent cx="7813040" cy="527431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813040" cy="5274310"/>
                    </a:xfrm>
                    <a:prstGeom prst="rect">
                      <a:avLst/>
                    </a:prstGeom>
                  </pic:spPr>
                </pic:pic>
              </a:graphicData>
            </a:graphic>
          </wp:inline>
        </w:drawing>
      </w:r>
    </w:p>
    <w:sectPr w:rsidR="001D4BE9" w:rsidRPr="0010281F" w:rsidSect="00541189">
      <w:pgSz w:w="16838" w:h="11906" w:orient="landscape"/>
      <w:pgMar w:top="1800" w:right="1440" w:bottom="180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D9D40" w14:textId="77777777" w:rsidR="00A12B4F" w:rsidRDefault="00A12B4F" w:rsidP="00DF2F2B">
      <w:r>
        <w:separator/>
      </w:r>
    </w:p>
  </w:endnote>
  <w:endnote w:type="continuationSeparator" w:id="0">
    <w:p w14:paraId="10E7783C" w14:textId="77777777" w:rsidR="00A12B4F" w:rsidRDefault="00A12B4F" w:rsidP="00DF2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CBD266" w14:textId="77777777" w:rsidR="00A12B4F" w:rsidRDefault="00A12B4F" w:rsidP="00DF2F2B">
      <w:r>
        <w:separator/>
      </w:r>
    </w:p>
  </w:footnote>
  <w:footnote w:type="continuationSeparator" w:id="0">
    <w:p w14:paraId="7423A342" w14:textId="77777777" w:rsidR="00A12B4F" w:rsidRDefault="00A12B4F" w:rsidP="00DF2F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605"/>
    <w:rsid w:val="00002CE8"/>
    <w:rsid w:val="0000789A"/>
    <w:rsid w:val="000E38B2"/>
    <w:rsid w:val="0010281F"/>
    <w:rsid w:val="001266B6"/>
    <w:rsid w:val="001D4BE9"/>
    <w:rsid w:val="00200796"/>
    <w:rsid w:val="002B1005"/>
    <w:rsid w:val="002C7CC0"/>
    <w:rsid w:val="003336E9"/>
    <w:rsid w:val="00493243"/>
    <w:rsid w:val="004A7605"/>
    <w:rsid w:val="00541189"/>
    <w:rsid w:val="007557A3"/>
    <w:rsid w:val="00826A7C"/>
    <w:rsid w:val="00841A60"/>
    <w:rsid w:val="008535D4"/>
    <w:rsid w:val="008B4AFA"/>
    <w:rsid w:val="008D6731"/>
    <w:rsid w:val="0092009E"/>
    <w:rsid w:val="00A12B4F"/>
    <w:rsid w:val="00A41C18"/>
    <w:rsid w:val="00A519AE"/>
    <w:rsid w:val="00BD4E5C"/>
    <w:rsid w:val="00C73165"/>
    <w:rsid w:val="00CD7D0C"/>
    <w:rsid w:val="00CF1FC8"/>
    <w:rsid w:val="00D86C82"/>
    <w:rsid w:val="00DF2F2B"/>
    <w:rsid w:val="00EA1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563BC8"/>
  <w15:chartTrackingRefBased/>
  <w15:docId w15:val="{5F23E3BC-CC8D-46CD-BC5D-199D32621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2F2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F2F2B"/>
    <w:rPr>
      <w:sz w:val="18"/>
      <w:szCs w:val="18"/>
    </w:rPr>
  </w:style>
  <w:style w:type="paragraph" w:styleId="a5">
    <w:name w:val="footer"/>
    <w:basedOn w:val="a"/>
    <w:link w:val="a6"/>
    <w:uiPriority w:val="99"/>
    <w:unhideWhenUsed/>
    <w:rsid w:val="00DF2F2B"/>
    <w:pPr>
      <w:tabs>
        <w:tab w:val="center" w:pos="4153"/>
        <w:tab w:val="right" w:pos="8306"/>
      </w:tabs>
      <w:snapToGrid w:val="0"/>
      <w:jc w:val="left"/>
    </w:pPr>
    <w:rPr>
      <w:sz w:val="18"/>
      <w:szCs w:val="18"/>
    </w:rPr>
  </w:style>
  <w:style w:type="character" w:customStyle="1" w:styleId="a6">
    <w:name w:val="页脚 字符"/>
    <w:basedOn w:val="a0"/>
    <w:link w:val="a5"/>
    <w:uiPriority w:val="99"/>
    <w:rsid w:val="00DF2F2B"/>
    <w:rPr>
      <w:sz w:val="18"/>
      <w:szCs w:val="18"/>
    </w:rPr>
  </w:style>
  <w:style w:type="character" w:styleId="a7">
    <w:name w:val="line number"/>
    <w:basedOn w:val="a0"/>
    <w:uiPriority w:val="99"/>
    <w:semiHidden/>
    <w:unhideWhenUsed/>
    <w:rsid w:val="0010281F"/>
  </w:style>
  <w:style w:type="paragraph" w:styleId="a8">
    <w:name w:val="Balloon Text"/>
    <w:basedOn w:val="a"/>
    <w:link w:val="a9"/>
    <w:uiPriority w:val="99"/>
    <w:semiHidden/>
    <w:unhideWhenUsed/>
    <w:rsid w:val="0000789A"/>
    <w:rPr>
      <w:sz w:val="18"/>
      <w:szCs w:val="18"/>
    </w:rPr>
  </w:style>
  <w:style w:type="character" w:customStyle="1" w:styleId="a9">
    <w:name w:val="批注框文本 字符"/>
    <w:basedOn w:val="a0"/>
    <w:link w:val="a8"/>
    <w:uiPriority w:val="99"/>
    <w:semiHidden/>
    <w:rsid w:val="000078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346</Words>
  <Characters>1974</Characters>
  <Application>Microsoft Office Word</Application>
  <DocSecurity>0</DocSecurity>
  <Lines>16</Lines>
  <Paragraphs>4</Paragraphs>
  <ScaleCrop>false</ScaleCrop>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Jun</dc:creator>
  <cp:keywords/>
  <dc:description/>
  <cp:lastModifiedBy>Wang Jun</cp:lastModifiedBy>
  <cp:revision>23</cp:revision>
  <dcterms:created xsi:type="dcterms:W3CDTF">2019-12-13T02:58:00Z</dcterms:created>
  <dcterms:modified xsi:type="dcterms:W3CDTF">2020-04-09T10:46:00Z</dcterms:modified>
</cp:coreProperties>
</file>